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4FDE1" w14:textId="5386716D" w:rsidR="00947B7C" w:rsidRDefault="00947B7C" w:rsidP="00947B7C">
      <w:pPr>
        <w:spacing w:after="0" w:line="360" w:lineRule="auto"/>
        <w:rPr>
          <w:rFonts w:ascii="Calibri" w:hAnsi="Calibri" w:cs="Calibri"/>
          <w:sz w:val="20"/>
          <w:szCs w:val="20"/>
          <w:lang w:val="fr-FR"/>
        </w:rPr>
      </w:pPr>
      <w:r w:rsidRPr="0006518C">
        <w:rPr>
          <w:rFonts w:ascii="Arial" w:hAnsi="Arial" w:cs="Arial"/>
          <w:noProof/>
          <w:lang w:eastAsia="nl-NL"/>
        </w:rPr>
        <w:drawing>
          <wp:anchor distT="0" distB="0" distL="114935" distR="114935" simplePos="0" relativeHeight="251659264" behindDoc="1" locked="0" layoutInCell="1" allowOverlap="1" wp14:anchorId="582E9891" wp14:editId="1B8067E7">
            <wp:simplePos x="0" y="0"/>
            <wp:positionH relativeFrom="column">
              <wp:posOffset>5359400</wp:posOffset>
            </wp:positionH>
            <wp:positionV relativeFrom="paragraph">
              <wp:posOffset>-717550</wp:posOffset>
            </wp:positionV>
            <wp:extent cx="1427480" cy="803910"/>
            <wp:effectExtent l="0" t="0" r="0" b="0"/>
            <wp:wrapNone/>
            <wp:docPr id="7" name="Afbeelding 2" descr="Afbeelding met tekst, illustratie, vectorafbeeldinge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fbeelding 2" descr="Afbeelding met tekst, illustratie, vectorafbeeldingen&#10;&#10;Automatisch gegenereerde beschrijvin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7480" cy="803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07373FD" w14:textId="281EBE0B" w:rsidR="0055088C" w:rsidRPr="00947B7C" w:rsidRDefault="0055088C" w:rsidP="00947B7C">
      <w:pPr>
        <w:spacing w:after="0" w:line="360" w:lineRule="auto"/>
        <w:jc w:val="center"/>
        <w:rPr>
          <w:rFonts w:ascii="Calibri" w:hAnsi="Calibri" w:cs="Calibri"/>
          <w:b/>
          <w:bCs/>
          <w:sz w:val="32"/>
          <w:szCs w:val="32"/>
          <w:lang w:val="fr-FR"/>
        </w:rPr>
      </w:pPr>
      <w:r w:rsidRPr="00947B7C">
        <w:rPr>
          <w:rFonts w:ascii="Calibri" w:hAnsi="Calibri" w:cs="Calibri"/>
          <w:b/>
          <w:bCs/>
          <w:sz w:val="32"/>
          <w:szCs w:val="32"/>
          <w:lang w:val="fr-FR"/>
        </w:rPr>
        <w:t xml:space="preserve">DKV acquiert </w:t>
      </w:r>
      <w:proofErr w:type="spellStart"/>
      <w:r w:rsidRPr="00947B7C">
        <w:rPr>
          <w:rFonts w:ascii="Calibri" w:hAnsi="Calibri" w:cs="Calibri"/>
          <w:b/>
          <w:bCs/>
          <w:sz w:val="32"/>
          <w:szCs w:val="32"/>
          <w:lang w:val="fr-FR"/>
        </w:rPr>
        <w:t>GreenFlux</w:t>
      </w:r>
      <w:proofErr w:type="spellEnd"/>
    </w:p>
    <w:p w14:paraId="0835697C" w14:textId="499354CF" w:rsidR="0055088C" w:rsidRDefault="0055088C" w:rsidP="00947B7C">
      <w:pPr>
        <w:spacing w:after="0" w:line="360" w:lineRule="auto"/>
        <w:jc w:val="center"/>
        <w:rPr>
          <w:rFonts w:ascii="Calibri" w:hAnsi="Calibri" w:cs="Calibri"/>
          <w:i/>
          <w:iCs/>
          <w:sz w:val="20"/>
          <w:szCs w:val="20"/>
          <w:lang w:val="fr-FR"/>
        </w:rPr>
      </w:pPr>
      <w:r w:rsidRPr="00947B7C">
        <w:rPr>
          <w:rFonts w:ascii="Calibri" w:hAnsi="Calibri" w:cs="Calibri"/>
          <w:i/>
          <w:iCs/>
          <w:sz w:val="20"/>
          <w:szCs w:val="20"/>
          <w:lang w:val="fr-FR"/>
        </w:rPr>
        <w:t>Le prestataire de services de mobilité DKV poursuit sa stratégie de croissance en matière de solutions de recharge électrique</w:t>
      </w:r>
    </w:p>
    <w:p w14:paraId="34295F38" w14:textId="77777777" w:rsidR="00947B7C" w:rsidRPr="00947B7C" w:rsidRDefault="00947B7C" w:rsidP="00947B7C">
      <w:pPr>
        <w:spacing w:after="0" w:line="360" w:lineRule="auto"/>
        <w:jc w:val="center"/>
        <w:rPr>
          <w:rFonts w:ascii="Calibri" w:hAnsi="Calibri" w:cs="Calibri"/>
          <w:i/>
          <w:iCs/>
          <w:sz w:val="20"/>
          <w:szCs w:val="20"/>
          <w:lang w:val="fr-FR"/>
        </w:rPr>
      </w:pPr>
    </w:p>
    <w:p w14:paraId="041C72D9" w14:textId="3236AEE7" w:rsidR="0055088C" w:rsidRDefault="00947B7C" w:rsidP="00947B7C">
      <w:pPr>
        <w:spacing w:after="0" w:line="360" w:lineRule="auto"/>
        <w:rPr>
          <w:rFonts w:ascii="Calibri" w:hAnsi="Calibri" w:cs="Calibri"/>
          <w:b/>
          <w:bCs/>
          <w:sz w:val="20"/>
          <w:szCs w:val="20"/>
          <w:lang w:val="fr-FR"/>
        </w:rPr>
      </w:pPr>
      <w:proofErr w:type="spellStart"/>
      <w:r>
        <w:rPr>
          <w:rFonts w:ascii="Calibri" w:hAnsi="Calibri" w:cs="Calibri"/>
          <w:sz w:val="20"/>
          <w:szCs w:val="20"/>
          <w:lang w:val="fr-FR"/>
        </w:rPr>
        <w:t>Noordwijkerhout</w:t>
      </w:r>
      <w:proofErr w:type="spellEnd"/>
      <w:r w:rsidR="0055088C" w:rsidRPr="00947B7C">
        <w:rPr>
          <w:rFonts w:ascii="Calibri" w:hAnsi="Calibri" w:cs="Calibri"/>
          <w:sz w:val="20"/>
          <w:szCs w:val="20"/>
          <w:lang w:val="fr-FR"/>
        </w:rPr>
        <w:t>, 10 juin 2021</w:t>
      </w:r>
      <w:r>
        <w:rPr>
          <w:rFonts w:ascii="Calibri" w:hAnsi="Calibri" w:cs="Calibri"/>
          <w:sz w:val="20"/>
          <w:szCs w:val="20"/>
          <w:lang w:val="fr-FR"/>
        </w:rPr>
        <w:t xml:space="preserve"> -</w:t>
      </w:r>
      <w:r w:rsidR="0055088C" w:rsidRPr="00947B7C">
        <w:rPr>
          <w:rFonts w:ascii="Calibri" w:hAnsi="Calibri" w:cs="Calibri"/>
          <w:sz w:val="20"/>
          <w:szCs w:val="20"/>
          <w:lang w:val="fr-FR"/>
        </w:rPr>
        <w:t xml:space="preserve"> </w:t>
      </w:r>
      <w:r w:rsidR="0055088C" w:rsidRPr="00947B7C">
        <w:rPr>
          <w:rFonts w:ascii="Calibri" w:hAnsi="Calibri" w:cs="Calibri"/>
          <w:b/>
          <w:bCs/>
          <w:sz w:val="20"/>
          <w:szCs w:val="20"/>
          <w:lang w:val="fr-FR"/>
        </w:rPr>
        <w:t xml:space="preserve">Le prestataire européen de services de mobilité DKV </w:t>
      </w:r>
      <w:proofErr w:type="spellStart"/>
      <w:r w:rsidR="0055088C" w:rsidRPr="00947B7C">
        <w:rPr>
          <w:rFonts w:ascii="Calibri" w:hAnsi="Calibri" w:cs="Calibri"/>
          <w:b/>
          <w:bCs/>
          <w:sz w:val="20"/>
          <w:szCs w:val="20"/>
          <w:lang w:val="fr-FR"/>
        </w:rPr>
        <w:t>Mobility</w:t>
      </w:r>
      <w:proofErr w:type="spellEnd"/>
      <w:r w:rsidR="0055088C" w:rsidRPr="00947B7C">
        <w:rPr>
          <w:rFonts w:ascii="Calibri" w:hAnsi="Calibri" w:cs="Calibri"/>
          <w:b/>
          <w:bCs/>
          <w:sz w:val="20"/>
          <w:szCs w:val="20"/>
          <w:lang w:val="fr-FR"/>
        </w:rPr>
        <w:t xml:space="preserve"> acquiert </w:t>
      </w:r>
      <w:proofErr w:type="spellStart"/>
      <w:r w:rsidR="0055088C" w:rsidRPr="00947B7C">
        <w:rPr>
          <w:rFonts w:ascii="Calibri" w:hAnsi="Calibri" w:cs="Calibri"/>
          <w:b/>
          <w:bCs/>
          <w:sz w:val="20"/>
          <w:szCs w:val="20"/>
          <w:lang w:val="fr-FR"/>
        </w:rPr>
        <w:t>GreenFlux</w:t>
      </w:r>
      <w:proofErr w:type="spellEnd"/>
      <w:r w:rsidR="0055088C" w:rsidRPr="00947B7C">
        <w:rPr>
          <w:rFonts w:ascii="Calibri" w:hAnsi="Calibri" w:cs="Calibri"/>
          <w:b/>
          <w:bCs/>
          <w:sz w:val="20"/>
          <w:szCs w:val="20"/>
          <w:lang w:val="fr-FR"/>
        </w:rPr>
        <w:t>, fournisseur européen de premier plan d’une plateforme logicielle destinée à la recharge de véhicules électriques. Avec cette acquisition, DKV marque une nouvelle et importante étape dans le soutien aux gestionnaires de flottes commerciales lors du passage à des concepts de mobilité plus écologiques. Ce faisant, DKV étend un peu plus encore ses activités dans le domaine des solutions de ravitaillement destinées aux véhicules électriques et acquiert un savoir-faire important qui lui permet d’étendre son offre de recharge partout en Europe.</w:t>
      </w:r>
    </w:p>
    <w:p w14:paraId="76E0994C" w14:textId="77777777" w:rsidR="00947B7C" w:rsidRPr="00947B7C" w:rsidRDefault="00947B7C" w:rsidP="00947B7C">
      <w:pPr>
        <w:spacing w:after="0" w:line="360" w:lineRule="auto"/>
        <w:rPr>
          <w:rFonts w:ascii="Calibri" w:hAnsi="Calibri" w:cs="Calibri"/>
          <w:b/>
          <w:bCs/>
          <w:sz w:val="20"/>
          <w:szCs w:val="20"/>
          <w:lang w:val="fr-FR"/>
        </w:rPr>
      </w:pPr>
    </w:p>
    <w:p w14:paraId="612C481E" w14:textId="77777777" w:rsidR="00947B7C" w:rsidRDefault="0055088C" w:rsidP="00947B7C">
      <w:pPr>
        <w:spacing w:after="0" w:line="360" w:lineRule="auto"/>
        <w:rPr>
          <w:rFonts w:ascii="Calibri" w:hAnsi="Calibri" w:cs="Calibri"/>
          <w:sz w:val="20"/>
          <w:szCs w:val="20"/>
          <w:lang w:val="fr-FR"/>
        </w:rPr>
      </w:pPr>
      <w:r w:rsidRPr="00947B7C">
        <w:rPr>
          <w:rFonts w:ascii="Calibri" w:hAnsi="Calibri" w:cs="Calibri"/>
          <w:sz w:val="20"/>
          <w:szCs w:val="20"/>
          <w:lang w:val="fr-FR"/>
        </w:rPr>
        <w:t xml:space="preserve">« Je suis fier de cette extension significative de nos capacités de recharge qui va nous permettre de renforcer nos prestations de service aux clients équipés de flottes électriques un peu partout en Europe », affirme Marco van </w:t>
      </w:r>
      <w:proofErr w:type="spellStart"/>
      <w:r w:rsidRPr="00947B7C">
        <w:rPr>
          <w:rFonts w:ascii="Calibri" w:hAnsi="Calibri" w:cs="Calibri"/>
          <w:sz w:val="20"/>
          <w:szCs w:val="20"/>
          <w:lang w:val="fr-FR"/>
        </w:rPr>
        <w:t>Kalleveen</w:t>
      </w:r>
      <w:proofErr w:type="spellEnd"/>
      <w:r w:rsidRPr="00947B7C">
        <w:rPr>
          <w:rFonts w:ascii="Calibri" w:hAnsi="Calibri" w:cs="Calibri"/>
          <w:sz w:val="20"/>
          <w:szCs w:val="20"/>
          <w:lang w:val="fr-FR"/>
        </w:rPr>
        <w:t xml:space="preserve">, le PDG de DKV </w:t>
      </w:r>
      <w:proofErr w:type="spellStart"/>
      <w:r w:rsidRPr="00947B7C">
        <w:rPr>
          <w:rFonts w:ascii="Calibri" w:hAnsi="Calibri" w:cs="Calibri"/>
          <w:sz w:val="20"/>
          <w:szCs w:val="20"/>
          <w:lang w:val="fr-FR"/>
        </w:rPr>
        <w:t>Mobility</w:t>
      </w:r>
      <w:proofErr w:type="spellEnd"/>
      <w:r w:rsidRPr="00947B7C">
        <w:rPr>
          <w:rFonts w:ascii="Calibri" w:hAnsi="Calibri" w:cs="Calibri"/>
          <w:sz w:val="20"/>
          <w:szCs w:val="20"/>
          <w:lang w:val="fr-FR"/>
        </w:rPr>
        <w:t xml:space="preserve">. « Cette croissance dynamique montre que l’e-mobilité se développe à une vitesse fulgurante dans toute l’Europe. Dans ce contexte, nous voulons accélérer la transition vers un avenir plus durable de la mobilité ». </w:t>
      </w:r>
    </w:p>
    <w:p w14:paraId="39ABF63C" w14:textId="77777777" w:rsidR="00947B7C" w:rsidRDefault="00947B7C" w:rsidP="00947B7C">
      <w:pPr>
        <w:spacing w:after="0" w:line="360" w:lineRule="auto"/>
        <w:rPr>
          <w:rFonts w:ascii="Calibri" w:hAnsi="Calibri" w:cs="Calibri"/>
          <w:sz w:val="20"/>
          <w:szCs w:val="20"/>
          <w:lang w:val="fr-FR"/>
        </w:rPr>
      </w:pPr>
    </w:p>
    <w:p w14:paraId="526E962B" w14:textId="1512406E" w:rsidR="0055088C" w:rsidRDefault="0055088C" w:rsidP="00947B7C">
      <w:pPr>
        <w:spacing w:after="0" w:line="360" w:lineRule="auto"/>
        <w:rPr>
          <w:rFonts w:ascii="Calibri" w:hAnsi="Calibri" w:cs="Calibri"/>
          <w:sz w:val="20"/>
          <w:szCs w:val="20"/>
          <w:lang w:val="fr-FR"/>
        </w:rPr>
      </w:pPr>
      <w:r w:rsidRPr="00947B7C">
        <w:rPr>
          <w:rFonts w:ascii="Calibri" w:hAnsi="Calibri" w:cs="Calibri"/>
          <w:sz w:val="20"/>
          <w:szCs w:val="20"/>
          <w:lang w:val="fr-FR"/>
        </w:rPr>
        <w:t xml:space="preserve">Floris van den </w:t>
      </w:r>
      <w:proofErr w:type="spellStart"/>
      <w:r w:rsidRPr="00947B7C">
        <w:rPr>
          <w:rFonts w:ascii="Calibri" w:hAnsi="Calibri" w:cs="Calibri"/>
          <w:sz w:val="20"/>
          <w:szCs w:val="20"/>
          <w:lang w:val="fr-FR"/>
        </w:rPr>
        <w:t>Broek</w:t>
      </w:r>
      <w:proofErr w:type="spellEnd"/>
      <w:r w:rsidRPr="00947B7C">
        <w:rPr>
          <w:rFonts w:ascii="Calibri" w:hAnsi="Calibri" w:cs="Calibri"/>
          <w:sz w:val="20"/>
          <w:szCs w:val="20"/>
          <w:lang w:val="fr-FR"/>
        </w:rPr>
        <w:t xml:space="preserve">, le PDG de </w:t>
      </w:r>
      <w:proofErr w:type="spellStart"/>
      <w:r w:rsidRPr="00947B7C">
        <w:rPr>
          <w:rFonts w:ascii="Calibri" w:hAnsi="Calibri" w:cs="Calibri"/>
          <w:sz w:val="20"/>
          <w:szCs w:val="20"/>
          <w:lang w:val="fr-FR"/>
        </w:rPr>
        <w:t>GreenFlux</w:t>
      </w:r>
      <w:proofErr w:type="spellEnd"/>
      <w:r w:rsidRPr="00947B7C">
        <w:rPr>
          <w:rFonts w:ascii="Calibri" w:hAnsi="Calibri" w:cs="Calibri"/>
          <w:sz w:val="20"/>
          <w:szCs w:val="20"/>
          <w:lang w:val="fr-FR"/>
        </w:rPr>
        <w:t xml:space="preserve">, explique pourquoi DKV est l’entreprise idéalement placée pour soutenir la stratégie de croissance de </w:t>
      </w:r>
      <w:proofErr w:type="spellStart"/>
      <w:r w:rsidRPr="00947B7C">
        <w:rPr>
          <w:rFonts w:ascii="Calibri" w:hAnsi="Calibri" w:cs="Calibri"/>
          <w:sz w:val="20"/>
          <w:szCs w:val="20"/>
          <w:lang w:val="fr-FR"/>
        </w:rPr>
        <w:t>GreenFlux</w:t>
      </w:r>
      <w:proofErr w:type="spellEnd"/>
      <w:r w:rsidRPr="00947B7C">
        <w:rPr>
          <w:rFonts w:ascii="Calibri" w:hAnsi="Calibri" w:cs="Calibri"/>
          <w:sz w:val="20"/>
          <w:szCs w:val="20"/>
          <w:lang w:val="fr-FR"/>
        </w:rPr>
        <w:t xml:space="preserve"> : « Ces dix dernières années, </w:t>
      </w:r>
      <w:proofErr w:type="spellStart"/>
      <w:r w:rsidRPr="00947B7C">
        <w:rPr>
          <w:rFonts w:ascii="Calibri" w:hAnsi="Calibri" w:cs="Calibri"/>
          <w:sz w:val="20"/>
          <w:szCs w:val="20"/>
          <w:lang w:val="fr-FR"/>
        </w:rPr>
        <w:t>GreenFlux</w:t>
      </w:r>
      <w:proofErr w:type="spellEnd"/>
      <w:r w:rsidRPr="00947B7C">
        <w:rPr>
          <w:rFonts w:ascii="Calibri" w:hAnsi="Calibri" w:cs="Calibri"/>
          <w:sz w:val="20"/>
          <w:szCs w:val="20"/>
          <w:lang w:val="fr-FR"/>
        </w:rPr>
        <w:t xml:space="preserve"> a développé sa plateforme logicielle pour la recharge de véhicules électriques et élargi sa couverture à 28 pays si bien qu’en 2021, cette croissance rapide lui a permis d’accéder au FT-1000 du Financial Times. Nous nous réjouissons de franchir l’étape suivante, qui est de faire partie de DKV </w:t>
      </w:r>
      <w:proofErr w:type="spellStart"/>
      <w:r w:rsidRPr="00947B7C">
        <w:rPr>
          <w:rFonts w:ascii="Calibri" w:hAnsi="Calibri" w:cs="Calibri"/>
          <w:sz w:val="20"/>
          <w:szCs w:val="20"/>
          <w:lang w:val="fr-FR"/>
        </w:rPr>
        <w:t>Mobility</w:t>
      </w:r>
      <w:proofErr w:type="spellEnd"/>
      <w:r w:rsidRPr="00947B7C">
        <w:rPr>
          <w:rFonts w:ascii="Calibri" w:hAnsi="Calibri" w:cs="Calibri"/>
          <w:sz w:val="20"/>
          <w:szCs w:val="20"/>
          <w:lang w:val="fr-FR"/>
        </w:rPr>
        <w:t xml:space="preserve"> Group ».</w:t>
      </w:r>
    </w:p>
    <w:p w14:paraId="783E6D43" w14:textId="77777777" w:rsidR="00947B7C" w:rsidRPr="00947B7C" w:rsidRDefault="00947B7C" w:rsidP="00947B7C">
      <w:pPr>
        <w:spacing w:after="0" w:line="360" w:lineRule="auto"/>
        <w:rPr>
          <w:rFonts w:ascii="Calibri" w:hAnsi="Calibri" w:cs="Calibri"/>
          <w:sz w:val="20"/>
          <w:szCs w:val="20"/>
          <w:lang w:val="fr-FR"/>
        </w:rPr>
      </w:pPr>
    </w:p>
    <w:p w14:paraId="7783D752" w14:textId="18ECE7D4" w:rsidR="0055088C" w:rsidRPr="00947B7C" w:rsidRDefault="0055088C" w:rsidP="00947B7C">
      <w:pPr>
        <w:spacing w:after="0" w:line="360" w:lineRule="auto"/>
        <w:rPr>
          <w:rFonts w:ascii="Calibri" w:hAnsi="Calibri" w:cs="Calibri"/>
          <w:sz w:val="20"/>
          <w:szCs w:val="20"/>
          <w:lang w:val="fr-FR"/>
        </w:rPr>
      </w:pPr>
      <w:r w:rsidRPr="00947B7C">
        <w:rPr>
          <w:rFonts w:ascii="Calibri" w:hAnsi="Calibri" w:cs="Calibri"/>
          <w:sz w:val="20"/>
          <w:szCs w:val="20"/>
          <w:lang w:val="fr-FR"/>
        </w:rPr>
        <w:t xml:space="preserve">L’offre de </w:t>
      </w:r>
      <w:proofErr w:type="spellStart"/>
      <w:r w:rsidRPr="00947B7C">
        <w:rPr>
          <w:rFonts w:ascii="Calibri" w:hAnsi="Calibri" w:cs="Calibri"/>
          <w:sz w:val="20"/>
          <w:szCs w:val="20"/>
          <w:lang w:val="fr-FR"/>
        </w:rPr>
        <w:t>GreenFlux</w:t>
      </w:r>
      <w:proofErr w:type="spellEnd"/>
      <w:r w:rsidRPr="00947B7C">
        <w:rPr>
          <w:rFonts w:ascii="Calibri" w:hAnsi="Calibri" w:cs="Calibri"/>
          <w:sz w:val="20"/>
          <w:szCs w:val="20"/>
          <w:lang w:val="fr-FR"/>
        </w:rPr>
        <w:t xml:space="preserve"> comprend une vaste gamme de solutions destinées aux exploitants de bornes de recharge et services de mobilité. Parmi ces solutions, des fonctions électroniques centralisées de chargement intelligent et indépendant de matériel informatique tels que la gestion de bornes et cartes de recharge, l’itinérance, le règlement et le traitement de processus de recharge.</w:t>
      </w:r>
    </w:p>
    <w:p w14:paraId="70E574D6" w14:textId="77777777" w:rsidR="0055088C" w:rsidRPr="00947B7C" w:rsidRDefault="0055088C" w:rsidP="00947B7C">
      <w:pPr>
        <w:spacing w:after="0" w:line="360" w:lineRule="auto"/>
        <w:rPr>
          <w:rFonts w:ascii="Calibri" w:hAnsi="Calibri" w:cs="Calibri"/>
          <w:w w:val="115"/>
          <w:sz w:val="20"/>
          <w:szCs w:val="20"/>
          <w:lang w:val="fr-FR"/>
        </w:rPr>
      </w:pPr>
    </w:p>
    <w:p w14:paraId="501F736A" w14:textId="77777777" w:rsidR="00947B7C" w:rsidRDefault="00947B7C" w:rsidP="00947B7C">
      <w:pPr>
        <w:pStyle w:val="Plattetekst"/>
        <w:spacing w:line="360" w:lineRule="auto"/>
        <w:ind w:right="301"/>
        <w:jc w:val="both"/>
        <w:rPr>
          <w:rFonts w:ascii="Calibri" w:hAnsi="Calibri" w:cs="Calibri"/>
          <w:b/>
          <w:bCs/>
          <w:w w:val="105"/>
          <w:lang w:val="fr-FR"/>
        </w:rPr>
      </w:pPr>
    </w:p>
    <w:p w14:paraId="27D3CA71" w14:textId="77777777" w:rsidR="00947B7C" w:rsidRDefault="00947B7C" w:rsidP="00947B7C">
      <w:pPr>
        <w:pStyle w:val="Plattetekst"/>
        <w:spacing w:line="360" w:lineRule="auto"/>
        <w:ind w:right="301"/>
        <w:jc w:val="both"/>
        <w:rPr>
          <w:rFonts w:ascii="Calibri" w:hAnsi="Calibri" w:cs="Calibri"/>
          <w:b/>
          <w:bCs/>
          <w:w w:val="105"/>
          <w:lang w:val="fr-FR"/>
        </w:rPr>
      </w:pPr>
    </w:p>
    <w:p w14:paraId="37952494" w14:textId="77777777" w:rsidR="00947B7C" w:rsidRDefault="00947B7C" w:rsidP="00947B7C">
      <w:pPr>
        <w:pStyle w:val="Plattetekst"/>
        <w:spacing w:line="360" w:lineRule="auto"/>
        <w:ind w:right="301"/>
        <w:jc w:val="both"/>
        <w:rPr>
          <w:rFonts w:ascii="Calibri" w:hAnsi="Calibri" w:cs="Calibri"/>
          <w:b/>
          <w:bCs/>
          <w:w w:val="105"/>
          <w:lang w:val="fr-FR"/>
        </w:rPr>
      </w:pPr>
    </w:p>
    <w:p w14:paraId="45CB8F87" w14:textId="77777777" w:rsidR="00947B7C" w:rsidRDefault="00947B7C" w:rsidP="00947B7C">
      <w:pPr>
        <w:pStyle w:val="Plattetekst"/>
        <w:spacing w:line="360" w:lineRule="auto"/>
        <w:ind w:right="301"/>
        <w:jc w:val="both"/>
        <w:rPr>
          <w:rFonts w:ascii="Calibri" w:hAnsi="Calibri" w:cs="Calibri"/>
          <w:b/>
          <w:bCs/>
          <w:w w:val="105"/>
          <w:lang w:val="fr-FR"/>
        </w:rPr>
      </w:pPr>
    </w:p>
    <w:p w14:paraId="23E7CDEA" w14:textId="77777777" w:rsidR="00947B7C" w:rsidRDefault="00947B7C" w:rsidP="00947B7C">
      <w:pPr>
        <w:pStyle w:val="Plattetekst"/>
        <w:spacing w:line="360" w:lineRule="auto"/>
        <w:ind w:right="301"/>
        <w:jc w:val="both"/>
        <w:rPr>
          <w:rFonts w:ascii="Calibri" w:hAnsi="Calibri" w:cs="Calibri"/>
          <w:b/>
          <w:bCs/>
          <w:w w:val="105"/>
          <w:lang w:val="fr-FR"/>
        </w:rPr>
      </w:pPr>
    </w:p>
    <w:p w14:paraId="5E039501" w14:textId="77777777" w:rsidR="00947B7C" w:rsidRDefault="00947B7C" w:rsidP="00947B7C">
      <w:pPr>
        <w:pStyle w:val="Plattetekst"/>
        <w:spacing w:line="360" w:lineRule="auto"/>
        <w:ind w:right="301"/>
        <w:jc w:val="both"/>
        <w:rPr>
          <w:rFonts w:ascii="Calibri" w:hAnsi="Calibri" w:cs="Calibri"/>
          <w:b/>
          <w:bCs/>
          <w:w w:val="105"/>
          <w:lang w:val="fr-FR"/>
        </w:rPr>
      </w:pPr>
    </w:p>
    <w:p w14:paraId="7EE08B13" w14:textId="77777777" w:rsidR="00947B7C" w:rsidRDefault="00947B7C" w:rsidP="00947B7C">
      <w:pPr>
        <w:pStyle w:val="Plattetekst"/>
        <w:spacing w:line="360" w:lineRule="auto"/>
        <w:ind w:right="301"/>
        <w:jc w:val="both"/>
        <w:rPr>
          <w:rFonts w:ascii="Calibri" w:hAnsi="Calibri" w:cs="Calibri"/>
          <w:b/>
          <w:bCs/>
          <w:w w:val="105"/>
          <w:lang w:val="fr-FR"/>
        </w:rPr>
      </w:pPr>
    </w:p>
    <w:p w14:paraId="63B59866" w14:textId="77777777" w:rsidR="00947B7C" w:rsidRDefault="00947B7C" w:rsidP="00947B7C">
      <w:pPr>
        <w:pStyle w:val="Plattetekst"/>
        <w:spacing w:line="360" w:lineRule="auto"/>
        <w:ind w:right="301"/>
        <w:jc w:val="both"/>
        <w:rPr>
          <w:rFonts w:ascii="Calibri" w:hAnsi="Calibri" w:cs="Calibri"/>
          <w:b/>
          <w:bCs/>
          <w:w w:val="105"/>
          <w:lang w:val="fr-FR"/>
        </w:rPr>
      </w:pPr>
    </w:p>
    <w:p w14:paraId="6750918E" w14:textId="77777777" w:rsidR="00947B7C" w:rsidRDefault="00947B7C" w:rsidP="00947B7C">
      <w:pPr>
        <w:pStyle w:val="Plattetekst"/>
        <w:spacing w:line="360" w:lineRule="auto"/>
        <w:ind w:right="301"/>
        <w:jc w:val="both"/>
        <w:rPr>
          <w:rFonts w:ascii="Calibri" w:hAnsi="Calibri" w:cs="Calibri"/>
          <w:b/>
          <w:bCs/>
          <w:w w:val="105"/>
          <w:lang w:val="fr-FR"/>
        </w:rPr>
      </w:pPr>
    </w:p>
    <w:p w14:paraId="290C248B" w14:textId="48A46F59" w:rsidR="0055088C" w:rsidRPr="00947B7C" w:rsidRDefault="0055088C" w:rsidP="00947B7C">
      <w:pPr>
        <w:pStyle w:val="Plattetekst"/>
        <w:spacing w:line="360" w:lineRule="auto"/>
        <w:ind w:right="301"/>
        <w:jc w:val="both"/>
        <w:rPr>
          <w:rFonts w:ascii="Calibri" w:hAnsi="Calibri" w:cs="Calibri"/>
          <w:b/>
          <w:bCs/>
          <w:w w:val="105"/>
          <w:lang w:val="fr-FR"/>
        </w:rPr>
      </w:pPr>
      <w:r w:rsidRPr="00947B7C">
        <w:rPr>
          <w:rFonts w:ascii="Calibri" w:hAnsi="Calibri" w:cs="Calibri"/>
          <w:b/>
          <w:bCs/>
          <w:w w:val="105"/>
          <w:lang w:val="fr-FR"/>
        </w:rPr>
        <w:t>DKV Euro Service</w:t>
      </w:r>
    </w:p>
    <w:p w14:paraId="7E0AAB2D" w14:textId="61B8DC57" w:rsidR="0055088C" w:rsidRPr="00947B7C" w:rsidRDefault="0055088C" w:rsidP="00947B7C">
      <w:pPr>
        <w:pStyle w:val="Plattetekst"/>
        <w:spacing w:line="360" w:lineRule="auto"/>
        <w:ind w:right="301"/>
        <w:jc w:val="both"/>
        <w:rPr>
          <w:rFonts w:ascii="Calibri" w:hAnsi="Calibri" w:cs="Calibri"/>
          <w:lang w:val="fr-FR"/>
        </w:rPr>
      </w:pPr>
      <w:r w:rsidRPr="00947B7C">
        <w:rPr>
          <w:rFonts w:ascii="Calibri" w:hAnsi="Calibri" w:cs="Calibri"/>
          <w:lang w:val="fr-FR"/>
        </w:rPr>
        <w:t>Depuis plus de 85 ans, DKV Euro Service est l’un des principaux prestataires de services de mobilité du secteur des transports routiers et de la logistique. De la prise en charge sans argent liquide à plus de 230 000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qui emploie plus de 1200 personnes. En 2020, ce groupe, représenté dans 45 pays, a réalisé un chiffre d’affaires de 9,3 milliards d’euros. A l’heure actuelle, plus de 5,1 millions de cartes et unités de bord DKV sont utilisées chez plus de 250 000 partenaires contractuels. En 2020, la carte DKV a été élue meilleure carte de carburant et de services pour la seizième fois consécutive.</w:t>
      </w:r>
    </w:p>
    <w:p w14:paraId="7A55DF58" w14:textId="77777777" w:rsidR="0055088C" w:rsidRPr="00947B7C" w:rsidRDefault="0055088C" w:rsidP="00947B7C">
      <w:pPr>
        <w:spacing w:after="0" w:line="360" w:lineRule="auto"/>
        <w:rPr>
          <w:rFonts w:ascii="Calibri" w:hAnsi="Calibri" w:cs="Calibri"/>
          <w:sz w:val="20"/>
          <w:szCs w:val="20"/>
          <w:lang w:val="fr-FR"/>
        </w:rPr>
      </w:pPr>
    </w:p>
    <w:p w14:paraId="5EEDFD12" w14:textId="77777777" w:rsidR="00947B7C" w:rsidRPr="007E102F" w:rsidRDefault="00947B7C" w:rsidP="00947B7C">
      <w:pPr>
        <w:spacing w:after="0" w:line="360" w:lineRule="auto"/>
        <w:rPr>
          <w:rFonts w:ascii="Calibri" w:hAnsi="Calibri" w:cs="Calibri"/>
          <w:b/>
          <w:bCs/>
          <w:sz w:val="20"/>
          <w:szCs w:val="20"/>
          <w:lang w:val="fr-FR"/>
        </w:rPr>
      </w:pPr>
      <w:r w:rsidRPr="007E102F">
        <w:rPr>
          <w:rFonts w:ascii="Calibri" w:hAnsi="Calibri" w:cs="Calibri"/>
          <w:b/>
          <w:bCs/>
          <w:sz w:val="20"/>
          <w:szCs w:val="20"/>
          <w:lang w:val="fr-FR"/>
        </w:rPr>
        <w:t>Contacts pour la presse</w:t>
      </w:r>
    </w:p>
    <w:p w14:paraId="6B128DBA" w14:textId="77777777" w:rsidR="00947B7C" w:rsidRPr="007E102F" w:rsidRDefault="00947B7C" w:rsidP="00947B7C">
      <w:pPr>
        <w:spacing w:after="0" w:line="360" w:lineRule="auto"/>
        <w:rPr>
          <w:rFonts w:ascii="Calibri" w:hAnsi="Calibri" w:cs="Calibri"/>
          <w:sz w:val="20"/>
          <w:szCs w:val="20"/>
          <w:lang w:val="fr-FR"/>
        </w:rPr>
      </w:pPr>
      <w:r w:rsidRPr="007E102F">
        <w:rPr>
          <w:rFonts w:ascii="Calibri" w:hAnsi="Calibri" w:cs="Calibri"/>
          <w:sz w:val="20"/>
          <w:szCs w:val="20"/>
          <w:lang w:val="fr-FR"/>
        </w:rPr>
        <w:t xml:space="preserve">Chez DKV : Greta </w:t>
      </w:r>
      <w:proofErr w:type="spellStart"/>
      <w:r w:rsidRPr="007E102F">
        <w:rPr>
          <w:rFonts w:ascii="Calibri" w:hAnsi="Calibri" w:cs="Calibri"/>
          <w:sz w:val="20"/>
          <w:szCs w:val="20"/>
          <w:lang w:val="fr-FR"/>
        </w:rPr>
        <w:t>Lammerse</w:t>
      </w:r>
      <w:proofErr w:type="spellEnd"/>
      <w:r w:rsidRPr="007E102F">
        <w:rPr>
          <w:rFonts w:ascii="Calibri" w:hAnsi="Calibri" w:cs="Calibri"/>
          <w:sz w:val="20"/>
          <w:szCs w:val="20"/>
          <w:lang w:val="fr-FR"/>
        </w:rPr>
        <w:t xml:space="preserve">, tél. : +31 252345665, e-mail : </w:t>
      </w:r>
      <w:hyperlink r:id="rId5">
        <w:r w:rsidRPr="007E102F">
          <w:rPr>
            <w:rStyle w:val="Hyperlink"/>
            <w:rFonts w:ascii="Calibri" w:hAnsi="Calibri" w:cs="Calibri"/>
            <w:lang w:val="fr-FR"/>
          </w:rPr>
          <w:t>Greta.lammerse@dkv-euroservice.com</w:t>
        </w:r>
      </w:hyperlink>
      <w:r w:rsidRPr="007E102F">
        <w:rPr>
          <w:rFonts w:ascii="Calibri" w:hAnsi="Calibri" w:cs="Calibri"/>
          <w:sz w:val="20"/>
          <w:szCs w:val="20"/>
          <w:lang w:val="fr-FR"/>
        </w:rPr>
        <w:t xml:space="preserve"> </w:t>
      </w:r>
      <w:r w:rsidRPr="007E102F">
        <w:rPr>
          <w:rFonts w:ascii="Calibri" w:hAnsi="Calibri" w:cs="Calibri"/>
          <w:sz w:val="20"/>
          <w:szCs w:val="20"/>
          <w:lang w:val="fr-FR"/>
        </w:rPr>
        <w:br/>
        <w:t xml:space="preserve">Agence de presse : Square Egg Communications, Sandra Van </w:t>
      </w:r>
      <w:proofErr w:type="spellStart"/>
      <w:r w:rsidRPr="007E102F">
        <w:rPr>
          <w:rFonts w:ascii="Calibri" w:hAnsi="Calibri" w:cs="Calibri"/>
          <w:sz w:val="20"/>
          <w:szCs w:val="20"/>
          <w:lang w:val="fr-FR"/>
        </w:rPr>
        <w:t>Hauwaert</w:t>
      </w:r>
      <w:proofErr w:type="spellEnd"/>
      <w:r w:rsidRPr="007E102F">
        <w:rPr>
          <w:rFonts w:ascii="Calibri" w:hAnsi="Calibri" w:cs="Calibri"/>
          <w:sz w:val="20"/>
          <w:szCs w:val="20"/>
          <w:lang w:val="fr-FR"/>
        </w:rPr>
        <w:t xml:space="preserve">, </w:t>
      </w:r>
      <w:hyperlink r:id="rId6" w:history="1">
        <w:r w:rsidRPr="007E102F">
          <w:rPr>
            <w:rStyle w:val="Hyperlink"/>
            <w:rFonts w:ascii="Calibri" w:hAnsi="Calibri" w:cs="Calibri"/>
            <w:lang w:val="fr-FR"/>
          </w:rPr>
          <w:t>sandra@square-egg.be</w:t>
        </w:r>
      </w:hyperlink>
      <w:r w:rsidRPr="007E102F">
        <w:rPr>
          <w:rFonts w:ascii="Calibri" w:hAnsi="Calibri" w:cs="Calibri"/>
          <w:sz w:val="20"/>
          <w:szCs w:val="20"/>
          <w:lang w:val="fr-FR"/>
        </w:rPr>
        <w:t>, 0497 251816.</w:t>
      </w:r>
    </w:p>
    <w:p w14:paraId="069D8D45" w14:textId="77777777" w:rsidR="00212CCE" w:rsidRPr="00947B7C" w:rsidRDefault="00212CCE" w:rsidP="00947B7C">
      <w:pPr>
        <w:spacing w:after="0" w:line="360" w:lineRule="auto"/>
        <w:rPr>
          <w:rFonts w:ascii="Calibri" w:hAnsi="Calibri" w:cs="Calibri"/>
          <w:sz w:val="20"/>
          <w:szCs w:val="20"/>
          <w:lang w:val="fr-FR"/>
        </w:rPr>
      </w:pPr>
    </w:p>
    <w:p w14:paraId="0BE9EC12" w14:textId="77777777" w:rsidR="00947B7C" w:rsidRPr="00947B7C" w:rsidRDefault="00947B7C">
      <w:pPr>
        <w:spacing w:after="0" w:line="360" w:lineRule="auto"/>
        <w:rPr>
          <w:rFonts w:ascii="Calibri" w:hAnsi="Calibri" w:cs="Calibri"/>
          <w:sz w:val="20"/>
          <w:szCs w:val="20"/>
          <w:lang w:val="fr-FR"/>
        </w:rPr>
      </w:pPr>
    </w:p>
    <w:sectPr w:rsidR="00947B7C" w:rsidRPr="00947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8C"/>
    <w:rsid w:val="00212CCE"/>
    <w:rsid w:val="0055088C"/>
    <w:rsid w:val="00947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B7AF"/>
  <w15:chartTrackingRefBased/>
  <w15:docId w15:val="{8D268FA2-6BE0-4289-8F47-57E39D04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88C"/>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088C"/>
    <w:rPr>
      <w:color w:val="0000FF"/>
      <w:u w:val="single"/>
    </w:rPr>
  </w:style>
  <w:style w:type="paragraph" w:styleId="Plattetekst">
    <w:name w:val="Body Text"/>
    <w:basedOn w:val="Standaard"/>
    <w:link w:val="PlattetekstChar"/>
    <w:uiPriority w:val="1"/>
    <w:unhideWhenUsed/>
    <w:qFormat/>
    <w:rsid w:val="0055088C"/>
    <w:pPr>
      <w:widowControl w:val="0"/>
      <w:autoSpaceDE w:val="0"/>
      <w:autoSpaceDN w:val="0"/>
      <w:spacing w:after="0" w:line="240" w:lineRule="auto"/>
    </w:pPr>
    <w:rPr>
      <w:rFonts w:ascii="Gill Sans MT" w:eastAsia="Gill Sans MT" w:hAnsi="Gill Sans MT" w:cs="Gill Sans MT"/>
      <w:sz w:val="20"/>
      <w:szCs w:val="20"/>
      <w:lang w:val="de-DE"/>
    </w:rPr>
  </w:style>
  <w:style w:type="character" w:customStyle="1" w:styleId="PlattetekstChar">
    <w:name w:val="Platte tekst Char"/>
    <w:basedOn w:val="Standaardalinea-lettertype"/>
    <w:link w:val="Plattetekst"/>
    <w:uiPriority w:val="1"/>
    <w:rsid w:val="0055088C"/>
    <w:rPr>
      <w:rFonts w:ascii="Gill Sans MT" w:eastAsia="Gill Sans MT" w:hAnsi="Gill Sans MT" w:cs="Gill Sans MT"/>
      <w:sz w:val="20"/>
      <w:szCs w:val="20"/>
      <w:lang w:val="de-DE"/>
    </w:rPr>
  </w:style>
  <w:style w:type="paragraph" w:customStyle="1" w:styleId="TableParagraph">
    <w:name w:val="Table Paragraph"/>
    <w:basedOn w:val="Standaard"/>
    <w:uiPriority w:val="1"/>
    <w:qFormat/>
    <w:rsid w:val="0055088C"/>
    <w:pPr>
      <w:widowControl w:val="0"/>
      <w:autoSpaceDE w:val="0"/>
      <w:autoSpaceDN w:val="0"/>
      <w:spacing w:before="3" w:after="0" w:line="240" w:lineRule="auto"/>
      <w:ind w:left="204"/>
    </w:pPr>
    <w:rPr>
      <w:rFonts w:ascii="Gill Sans MT" w:eastAsia="Gill Sans MT" w:hAnsi="Gill Sans MT" w:cs="Gill Sans M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6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mailto:Greta.lammerse@dkv-euroservice.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2927</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Haas</dc:creator>
  <cp:keywords/>
  <dc:description/>
  <cp:lastModifiedBy>Sandra Van Hauwaert</cp:lastModifiedBy>
  <cp:revision>2</cp:revision>
  <dcterms:created xsi:type="dcterms:W3CDTF">2021-06-10T10:36:00Z</dcterms:created>
  <dcterms:modified xsi:type="dcterms:W3CDTF">2021-06-10T10:36:00Z</dcterms:modified>
</cp:coreProperties>
</file>